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2"/>
        <w:spacing w:after="0" w:before="240" w:line="360" w:lineRule="auto"/>
        <w:ind w:left="720" w:firstLine="0"/>
        <w:jc w:val="both"/>
        <w:rPr>
          <w:rFonts w:ascii="Times New Roman" w:cs="Times New Roman" w:eastAsia="Times New Roman" w:hAnsi="Times New Roman"/>
          <w:b w:val="1"/>
          <w:bCs w:val="1"/>
          <w:color w:val="1155cc"/>
          <w:sz w:val="24"/>
          <w:szCs w:val="24"/>
          <w:highlight w:val="white"/>
        </w:rPr>
      </w:pPr>
      <w:bookmarkStart w:colFirst="0" w:colLast="0" w:name="_2vbs4oqejbmy" w:id="0"/>
      <w:bookmarkEnd w:id="0"/>
      <w:r w:rsidDel="00000000" w:rsidR="00000000" w:rsidRPr="00000000">
        <w:rPr>
          <w:rFonts w:ascii="Times New Roman" w:cs="Times New Roman" w:eastAsia="Times New Roman" w:hAnsi="Times New Roman"/>
          <w:b w:val="1"/>
          <w:bCs w:val="1"/>
          <w:color w:val="1155cc"/>
          <w:sz w:val="24"/>
          <w:szCs w:val="24"/>
          <w:highlight w:val="white"/>
          <w:rtl w:val="0"/>
        </w:rPr>
        <w:t xml:space="preserve">2.2 Panorama Demográfico:</w:t>
      </w:r>
    </w:p>
    <w:p w:rsidR="00000000" w:rsidDel="00000000" w:rsidP="00000000" w:rsidRDefault="00000000" w:rsidRPr="00000000" w14:paraId="0000000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3">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Para a elaboração do panorama demográfico utilizou-se, a priori, os dados dos Censos de 2022 e 2010 coletados por meio do Sistema IBGE de Recuperação Automática (SIDRA) e, para fim de complementação da análise, foram trazidos dados oficiais da Secretaria de Infraestruturas e Obras Públicas (SEINFRA) da Prefeitura Municipal de Salvador e da Portaria nº 7.365, de 13 de março de 2020, da Superintendência de Patrimônio da União (SPU).</w:t>
      </w:r>
    </w:p>
    <w:p w:rsidR="00000000" w:rsidDel="00000000" w:rsidP="00000000" w:rsidRDefault="00000000" w:rsidRPr="00000000" w14:paraId="00000004">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Segundo a publicação “Censo Demográfico 2022 Favelas e Comunidades Urbanas- Resultados do universo” publicado em 2025 pelo IBGE, aponta-se um aumento - entre os Censos de 2010 e 2022 - de 292 favelas no município do Salvador, estimando um crescimento da população residente de 9,7%. Observa-se também um pequeno aumento, de aproximadamente 1%, na proporção de mulheres residentes nestes territórios. Sobre a taxa de analfabetismo, constata-se um decréscimo de aproximadamente 2% e, em relação ao perfil étnico-racial há um aumento de 6,3% da população autodeclarada preta e uma diminuição de 2,6% de pardos e 2,4% de brancos. A população autodeclarada negra, pretos e pardos conforme o Estatuto da Igualdade Racial (2010)</w:t>
      </w:r>
      <w:r w:rsidDel="00000000" w:rsidR="00000000" w:rsidRPr="00000000">
        <w:rPr>
          <w:rFonts w:ascii="Times New Roman" w:cs="Times New Roman" w:eastAsia="Times New Roman" w:hAnsi="Times New Roman"/>
          <w:sz w:val="24"/>
          <w:szCs w:val="24"/>
          <w:vertAlign w:val="superscript"/>
        </w:rPr>
        <w:footnoteReference w:customMarkFollows="0" w:id="0"/>
      </w:r>
      <w:r w:rsidDel="00000000" w:rsidR="00000000" w:rsidRPr="00000000">
        <w:rPr>
          <w:rFonts w:ascii="Times New Roman" w:cs="Times New Roman" w:eastAsia="Times New Roman" w:hAnsi="Times New Roman"/>
          <w:sz w:val="24"/>
          <w:szCs w:val="24"/>
          <w:rtl w:val="0"/>
        </w:rPr>
        <w:t xml:space="preserve">, representa em 2022 83.5% dos moradores de favelas em Salvador.</w:t>
      </w:r>
    </w:p>
    <w:p w:rsidR="00000000" w:rsidDel="00000000" w:rsidP="00000000" w:rsidRDefault="00000000" w:rsidRPr="00000000" w14:paraId="00000005">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Considerando os dados gerais do município apontados pelo IBGE, busca-se observar e comparar os dados levantados especificamente para o território da Gamboa de Baixo. Entretanto, é importante ressaltar que, conforme mostram os mapas 4 e 5 abaixo, os setores censitários que englobam o território variam entre os Censos. Em 2010, a poligonal do setor censitário englobava as duas comunidades, Gamboa de Baixo e Solar do Unhão, e uma parcela que corresponde ao Edifício Morada dos Cardeais. Já no Censo de 2022, o edifício foi excluído, mas o Museu de Arte Moderna (MAM) foi incluído. Entende-se que os dados de 2010 podem estar deturpados, uma vez que o edifício é voltado para um público de alta renda que possui uma realidade completamente diversa dos moradores das favelas ao lado. Já a inclusão do museu não é um fator deturpador, uma vez que não se trata de um domicílio particular permanente. </w:t>
      </w:r>
    </w:p>
    <w:p w:rsidR="00000000" w:rsidDel="00000000" w:rsidP="00000000" w:rsidRDefault="00000000" w:rsidRPr="00000000" w14:paraId="00000006">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7">
      <w:pPr>
        <w:spacing w:line="276"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8">
      <w:pPr>
        <w:spacing w:line="276"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A">
      <w:pPr>
        <w:spacing w:line="276" w:lineRule="auto"/>
        <w:ind w:firstLine="720"/>
        <w:jc w:val="both"/>
        <w:rPr>
          <w:rFonts w:ascii="Times New Roman" w:cs="Times New Roman" w:eastAsia="Times New Roman" w:hAnsi="Times New Roman"/>
          <w:sz w:val="24"/>
          <w:szCs w:val="24"/>
        </w:rPr>
        <w:sectPr>
          <w:pgSz w:h="16834" w:w="11909"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0B">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C">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7533440" cy="5327586"/>
            <wp:effectExtent b="0" l="0" r="0" t="0"/>
            <wp:docPr id="13" name="image17.png"/>
            <a:graphic>
              <a:graphicData uri="http://schemas.openxmlformats.org/drawingml/2006/picture">
                <pic:pic>
                  <pic:nvPicPr>
                    <pic:cNvPr id="0" name="image17.png"/>
                    <pic:cNvPicPr preferRelativeResize="0"/>
                  </pic:nvPicPr>
                  <pic:blipFill>
                    <a:blip r:embed="rId7"/>
                    <a:srcRect b="0" l="0" r="0" t="0"/>
                    <a:stretch>
                      <a:fillRect/>
                    </a:stretch>
                  </pic:blipFill>
                  <pic:spPr>
                    <a:xfrm>
                      <a:off x="0" y="0"/>
                      <a:ext cx="7533440" cy="5327586"/>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spacing w:line="240" w:lineRule="auto"/>
        <w:jc w:val="center"/>
        <w:rPr>
          <w:rFonts w:ascii="Times New Roman" w:cs="Times New Roman" w:eastAsia="Times New Roman" w:hAnsi="Times New Roman"/>
          <w:sz w:val="20"/>
          <w:szCs w:val="20"/>
          <w:highlight w:val="white"/>
        </w:rPr>
      </w:pPr>
      <w:bookmarkStart w:colFirst="0" w:colLast="0" w:name="_4km8wt86u8as" w:id="1"/>
      <w:bookmarkEnd w:id="1"/>
      <w:r w:rsidDel="00000000" w:rsidR="00000000" w:rsidRPr="00000000">
        <w:rPr>
          <w:rFonts w:ascii="Times New Roman" w:cs="Times New Roman" w:eastAsia="Times New Roman" w:hAnsi="Times New Roman"/>
          <w:sz w:val="20"/>
          <w:szCs w:val="20"/>
          <w:rtl w:val="0"/>
        </w:rPr>
        <w:t xml:space="preserve">Mapa 4</w:t>
      </w:r>
      <w:r w:rsidDel="00000000" w:rsidR="00000000" w:rsidRPr="00000000">
        <w:rPr>
          <w:rFonts w:ascii="Times New Roman" w:cs="Times New Roman" w:eastAsia="Times New Roman" w:hAnsi="Times New Roman"/>
          <w:sz w:val="20"/>
          <w:szCs w:val="20"/>
          <w:highlight w:val="white"/>
          <w:rtl w:val="0"/>
        </w:rPr>
        <w:t xml:space="preserve">: Setores censitários compreendidos pela Comunidade Gamboa de Baixo. </w:t>
      </w:r>
    </w:p>
    <w:p w:rsidR="00000000" w:rsidDel="00000000" w:rsidP="00000000" w:rsidRDefault="00000000" w:rsidRPr="00000000" w14:paraId="0000000E">
      <w:pPr>
        <w:spacing w:line="240" w:lineRule="auto"/>
        <w:jc w:val="center"/>
        <w:rPr>
          <w:rFonts w:ascii="Times New Roman" w:cs="Times New Roman" w:eastAsia="Times New Roman" w:hAnsi="Times New Roman"/>
          <w:sz w:val="20"/>
          <w:szCs w:val="20"/>
          <w:highlight w:val="white"/>
        </w:rPr>
      </w:pPr>
      <w:r w:rsidDel="00000000" w:rsidR="00000000" w:rsidRPr="00000000">
        <w:rPr>
          <w:rFonts w:ascii="Times New Roman" w:cs="Times New Roman" w:eastAsia="Times New Roman" w:hAnsi="Times New Roman"/>
          <w:sz w:val="20"/>
          <w:szCs w:val="20"/>
          <w:highlight w:val="white"/>
          <w:rtl w:val="0"/>
        </w:rPr>
        <w:t xml:space="preserve">Fonte: IBGE - Censo Demográfico 2010.</w:t>
      </w:r>
    </w:p>
    <w:p w:rsidR="00000000" w:rsidDel="00000000" w:rsidP="00000000" w:rsidRDefault="00000000" w:rsidRPr="00000000" w14:paraId="0000000F">
      <w:pPr>
        <w:spacing w:line="240" w:lineRule="auto"/>
        <w:jc w:val="center"/>
        <w:rPr>
          <w:rFonts w:ascii="Times New Roman" w:cs="Times New Roman" w:eastAsia="Times New Roman" w:hAnsi="Times New Roman"/>
          <w:sz w:val="20"/>
          <w:szCs w:val="20"/>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324485</wp:posOffset>
            </wp:positionH>
            <wp:positionV relativeFrom="paragraph">
              <wp:posOffset>-38008</wp:posOffset>
            </wp:positionV>
            <wp:extent cx="8011776" cy="5656177"/>
            <wp:effectExtent b="0" l="0" r="0" t="0"/>
            <wp:wrapNone/>
            <wp:docPr id="17" name="image18.png"/>
            <a:graphic>
              <a:graphicData uri="http://schemas.openxmlformats.org/drawingml/2006/picture">
                <pic:pic>
                  <pic:nvPicPr>
                    <pic:cNvPr id="0" name="image18.png"/>
                    <pic:cNvPicPr preferRelativeResize="0"/>
                  </pic:nvPicPr>
                  <pic:blipFill>
                    <a:blip r:embed="rId8"/>
                    <a:srcRect b="0" l="0" r="0" t="0"/>
                    <a:stretch>
                      <a:fillRect/>
                    </a:stretch>
                  </pic:blipFill>
                  <pic:spPr>
                    <a:xfrm>
                      <a:off x="0" y="0"/>
                      <a:ext cx="8011776" cy="5656177"/>
                    </a:xfrm>
                    <a:prstGeom prst="rect"/>
                    <a:ln/>
                  </pic:spPr>
                </pic:pic>
              </a:graphicData>
            </a:graphic>
          </wp:anchor>
        </w:drawing>
      </w:r>
    </w:p>
    <w:p w:rsidR="00000000" w:rsidDel="00000000" w:rsidP="00000000" w:rsidRDefault="00000000" w:rsidRPr="00000000" w14:paraId="00000010">
      <w:pPr>
        <w:spacing w:line="240" w:lineRule="auto"/>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1">
      <w:pPr>
        <w:spacing w:line="240" w:lineRule="auto"/>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2">
      <w:pPr>
        <w:spacing w:line="240" w:lineRule="auto"/>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3">
      <w:pPr>
        <w:spacing w:line="240" w:lineRule="auto"/>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4">
      <w:pPr>
        <w:spacing w:line="240" w:lineRule="auto"/>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5">
      <w:pPr>
        <w:spacing w:line="240" w:lineRule="auto"/>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6">
      <w:pPr>
        <w:spacing w:line="240" w:lineRule="auto"/>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7">
      <w:pPr>
        <w:spacing w:line="240" w:lineRule="auto"/>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8">
      <w:pPr>
        <w:spacing w:line="240" w:lineRule="auto"/>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9">
      <w:pPr>
        <w:spacing w:line="240" w:lineRule="auto"/>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A">
      <w:pPr>
        <w:spacing w:line="360" w:lineRule="auto"/>
        <w:ind w:left="566" w:firstLine="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C">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D">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E">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1F">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0">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1">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2">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3">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4">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5">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6">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7">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8">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9">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A">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B">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C">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D">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E">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2F">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30">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31">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32">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33">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34">
      <w:pPr>
        <w:spacing w:line="240" w:lineRule="auto"/>
        <w:ind w:left="566" w:firstLine="0"/>
        <w:jc w:val="center"/>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035">
      <w:pPr>
        <w:spacing w:line="240" w:lineRule="auto"/>
        <w:jc w:val="center"/>
        <w:rPr>
          <w:rFonts w:ascii="Times New Roman" w:cs="Times New Roman" w:eastAsia="Times New Roman" w:hAnsi="Times New Roman"/>
          <w:sz w:val="20"/>
          <w:szCs w:val="20"/>
          <w:highlight w:val="white"/>
        </w:rPr>
      </w:pPr>
      <w:bookmarkStart w:colFirst="0" w:colLast="0" w:name="_m0eoek2k43v4" w:id="2"/>
      <w:bookmarkEnd w:id="2"/>
      <w:r w:rsidDel="00000000" w:rsidR="00000000" w:rsidRPr="00000000">
        <w:rPr>
          <w:rFonts w:ascii="Times New Roman" w:cs="Times New Roman" w:eastAsia="Times New Roman" w:hAnsi="Times New Roman"/>
          <w:sz w:val="20"/>
          <w:szCs w:val="20"/>
          <w:rtl w:val="0"/>
        </w:rPr>
        <w:t xml:space="preserve">Mapa 5</w:t>
      </w:r>
      <w:r w:rsidDel="00000000" w:rsidR="00000000" w:rsidRPr="00000000">
        <w:rPr>
          <w:rFonts w:ascii="Times New Roman" w:cs="Times New Roman" w:eastAsia="Times New Roman" w:hAnsi="Times New Roman"/>
          <w:sz w:val="20"/>
          <w:szCs w:val="20"/>
          <w:highlight w:val="white"/>
          <w:rtl w:val="0"/>
        </w:rPr>
        <w:t xml:space="preserve">: Setores censitários compreendidos pela Comunidade Gamboa de Baixo.</w:t>
      </w:r>
    </w:p>
    <w:p w:rsidR="00000000" w:rsidDel="00000000" w:rsidP="00000000" w:rsidRDefault="00000000" w:rsidRPr="00000000" w14:paraId="00000036">
      <w:pPr>
        <w:spacing w:line="240" w:lineRule="auto"/>
        <w:ind w:left="566" w:firstLine="0"/>
        <w:jc w:val="center"/>
        <w:rPr>
          <w:rFonts w:ascii="Times New Roman" w:cs="Times New Roman" w:eastAsia="Times New Roman" w:hAnsi="Times New Roman"/>
          <w:sz w:val="20"/>
          <w:szCs w:val="20"/>
          <w:highlight w:val="white"/>
        </w:rPr>
        <w:sectPr>
          <w:type w:val="nextPage"/>
          <w:pgSz w:h="11909" w:w="16834" w:orient="landscape"/>
          <w:pgMar w:bottom="1133" w:top="1133" w:left="1133" w:right="1133" w:header="720" w:footer="720"/>
        </w:sectPr>
      </w:pPr>
      <w:r w:rsidDel="00000000" w:rsidR="00000000" w:rsidRPr="00000000">
        <w:rPr>
          <w:rFonts w:ascii="Times New Roman" w:cs="Times New Roman" w:eastAsia="Times New Roman" w:hAnsi="Times New Roman"/>
          <w:sz w:val="20"/>
          <w:szCs w:val="20"/>
          <w:highlight w:val="white"/>
          <w:rtl w:val="0"/>
        </w:rPr>
        <w:t xml:space="preserve">Fonte: IBGE - Censo Demográfico 2022.</w:t>
      </w:r>
    </w:p>
    <w:p w:rsidR="00000000" w:rsidDel="00000000" w:rsidP="00000000" w:rsidRDefault="00000000" w:rsidRPr="00000000" w14:paraId="00000037">
      <w:pPr>
        <w:spacing w:line="360" w:lineRule="auto"/>
        <w:ind w:firstLine="56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Explicada a composição espacial dos setores censitários, compreende-se que esta análise demográfica não diferencia as comunidades vizinhas - Gamboa de Baixo e Solar do Unhão – portanto os dados dizem respeito às duas em conjunto. Comparando os resultados de 2010 e 2022, revela-se um decréscimo populacional de 12%, uma vez que em 2010 foram contabilizados 1037 residentes, já em 2022 foram 912. Em contraposição, houve um aumento de aproximadamente 19% de domicílios, sendo contabilizados 328 domicílios em 2010 e 404 em 2022. </w:t>
      </w:r>
    </w:p>
    <w:p w:rsidR="00000000" w:rsidDel="00000000" w:rsidP="00000000" w:rsidRDefault="00000000" w:rsidRPr="00000000" w14:paraId="00000038">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Entretanto, estes dados podem ser questionáveis, pois se distanciam muito dos dados registrados pela SEINFRA em 2020 quando, com o objetivo de cadastrar os domicílios para fins de regularização fundiária, o órgão contabilizou 422 unidades apenas na comunidade da Gamboa de Baixo e 209 no Solar do Unhão, totalizando 631 domicílios. O órgão municipal também registrou o número de lotes identificados, 346 para as duas comunidades, que, em termos de quantidade, se aproxima mais dos dados apresentados pelo IBGE. Durante as entrevistas, foi perguntado aos moradores se haviam respondido às pesquisas do IBGE e todos afirmaram não ter visto recenseadores adentrarem a comunidade.</w:t>
      </w:r>
    </w:p>
    <w:p w:rsidR="00000000" w:rsidDel="00000000" w:rsidP="00000000" w:rsidRDefault="00000000" w:rsidRPr="00000000" w14:paraId="00000039">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 o propósito de estimar a densidade habitacional</w:t>
      </w:r>
      <w:r w:rsidDel="00000000" w:rsidR="00000000" w:rsidRPr="00000000">
        <w:rPr>
          <w:rFonts w:ascii="Times New Roman" w:cs="Times New Roman" w:eastAsia="Times New Roman" w:hAnsi="Times New Roman"/>
          <w:sz w:val="24"/>
          <w:szCs w:val="24"/>
          <w:vertAlign w:val="superscript"/>
        </w:rPr>
        <w:footnoteReference w:customMarkFollows="0" w:id="1"/>
      </w:r>
      <w:r w:rsidDel="00000000" w:rsidR="00000000" w:rsidRPr="00000000">
        <w:rPr>
          <w:rFonts w:ascii="Times New Roman" w:cs="Times New Roman" w:eastAsia="Times New Roman" w:hAnsi="Times New Roman"/>
          <w:sz w:val="24"/>
          <w:szCs w:val="24"/>
          <w:rtl w:val="0"/>
        </w:rPr>
        <w:t xml:space="preserve"> foi consultado o dado sobre a área do setor censitário de 2022 informada pelo IBGE (aproximadamente 70 mil m²), entretanto, como o setor inclui o museu, buscou-se a informação da área em outra fonte e, de acordo com a Portaria nº 7.365, de 13 de março de 2020, da Secretaria de Coordenação e Governança do Patrimônio da União (SPU) que cede a área de marinha ocupada pela comunidade ao município para regularização fundiária, a área que abrange as duas comunidades é de aproximadamente 20 mil m². Levando em consideração a disparidade dos números apresentados pelos órgãos envolvidos, para este cálculo elege-se utilizar a área determinada pela SPU e o número de domicílios de acordo com a SEINFRA, resultando em uma densidade habitacional de 315,5 habitações/ha.</w:t>
      </w:r>
    </w:p>
    <w:p w:rsidR="00000000" w:rsidDel="00000000" w:rsidP="00000000" w:rsidRDefault="00000000" w:rsidRPr="00000000" w14:paraId="0000003A">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 relação à população da Gamboa de Baixo, os dados comparados dos censos de 2010 e 2022 apontam um crescimento da proporção de mulheres em (2,1%), acompanhando a tendência do conjunto de favelas do município. Já a taxa de analfabetismo na comunidade aumenta consideravelmente de um censo para o outro (16,5%), contrariando a tendência observada no conjunto, que apresentou queda de 2%. </w:t>
      </w:r>
    </w:p>
    <w:p w:rsidR="00000000" w:rsidDel="00000000" w:rsidP="00000000" w:rsidRDefault="00000000" w:rsidRPr="00000000" w14:paraId="0000003B">
      <w:pPr>
        <w:spacing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844800"/>
            <wp:effectExtent b="0" l="0" r="0" t="0"/>
            <wp:docPr id="3" name="image13.png"/>
            <a:graphic>
              <a:graphicData uri="http://schemas.openxmlformats.org/drawingml/2006/picture">
                <pic:pic>
                  <pic:nvPicPr>
                    <pic:cNvPr id="0" name="image13.png"/>
                    <pic:cNvPicPr preferRelativeResize="0"/>
                  </pic:nvPicPr>
                  <pic:blipFill>
                    <a:blip r:embed="rId9"/>
                    <a:srcRect b="0" l="0" r="0" t="0"/>
                    <a:stretch>
                      <a:fillRect/>
                    </a:stretch>
                  </pic:blipFill>
                  <pic:spPr>
                    <a:xfrm>
                      <a:off x="0" y="0"/>
                      <a:ext cx="57312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781300"/>
            <wp:effectExtent b="0" l="0" r="0" t="0"/>
            <wp:docPr id="11"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57312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tocante ao perfil étnico-racial observa-se um aumento significativo da população autodeclarada preta (12%), o dobro do que foi observado no conjunto; aumento de 3,6% dos pardos e diminuição considerável de brancos (5,2%). Para analisar estes dados é importante considerar o contexto entre um censo e outro no âmbito das políticas de promoção da igualdade racial. O Estatuto da Igualdade Racial, instituído em 2010, e seus desencadeamentos ampliaram o debate público sobre raça e combate ao racismo colaborando para uma maior conscientização racial. </w:t>
      </w:r>
    </w:p>
    <w:p w:rsidR="00000000" w:rsidDel="00000000" w:rsidP="00000000" w:rsidRDefault="00000000" w:rsidRPr="00000000" w14:paraId="00000046">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Ao levar em consideração toda a luta pelo reconhecimento da identidade tradicional pesqueira da comunidade da Gamboa de Baixo, seus vínculos com movimentos sociais com pautas reivindicatórias muito associadas aos debates de patrimônio, cultura e combate ao racismo e a constante articulação ao longo dos últimos anos com instituições de ensino e pesquisa, corrobora para interpretação de que estes números refletem uma possível mudança de autodeclaração das pessoas entre um censo e outro, em contrapartida a uma possível hipótese de alteração do perfil da população residente. </w:t>
      </w:r>
    </w:p>
    <w:p w:rsidR="00000000" w:rsidDel="00000000" w:rsidP="00000000" w:rsidRDefault="00000000" w:rsidRPr="00000000" w14:paraId="0000004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832825" cy="2476500"/>
            <wp:effectExtent b="0" l="0" r="0" t="0"/>
            <wp:docPr id="2" name="image9.png"/>
            <a:graphic>
              <a:graphicData uri="http://schemas.openxmlformats.org/drawingml/2006/picture">
                <pic:pic>
                  <pic:nvPicPr>
                    <pic:cNvPr id="0" name="image9.png"/>
                    <pic:cNvPicPr preferRelativeResize="0"/>
                  </pic:nvPicPr>
                  <pic:blipFill>
                    <a:blip r:embed="rId11"/>
                    <a:srcRect b="0" l="0" r="50596" t="0"/>
                    <a:stretch>
                      <a:fillRect/>
                    </a:stretch>
                  </pic:blipFill>
                  <pic:spPr>
                    <a:xfrm>
                      <a:off x="0" y="0"/>
                      <a:ext cx="2832825" cy="24765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2800350" cy="2403891"/>
            <wp:effectExtent b="0" l="0" r="0" t="0"/>
            <wp:docPr id="12" name="image8.png"/>
            <a:graphic>
              <a:graphicData uri="http://schemas.openxmlformats.org/drawingml/2006/picture">
                <pic:pic>
                  <pic:nvPicPr>
                    <pic:cNvPr id="0" name="image8.png"/>
                    <pic:cNvPicPr preferRelativeResize="0"/>
                  </pic:nvPicPr>
                  <pic:blipFill>
                    <a:blip r:embed="rId12"/>
                    <a:srcRect b="2932" l="0" r="0" t="6335"/>
                    <a:stretch>
                      <a:fillRect/>
                    </a:stretch>
                  </pic:blipFill>
                  <pic:spPr>
                    <a:xfrm>
                      <a:off x="0" y="0"/>
                      <a:ext cx="2800350" cy="2403891"/>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552700"/>
            <wp:effectExtent b="0" l="0" r="0" t="0"/>
            <wp:docPr id="7"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5731200" cy="255270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578100"/>
            <wp:effectExtent b="0" l="0" r="0" t="0"/>
            <wp:docPr id="1" name="image12.png"/>
            <a:graphic>
              <a:graphicData uri="http://schemas.openxmlformats.org/drawingml/2006/picture">
                <pic:pic>
                  <pic:nvPicPr>
                    <pic:cNvPr id="0" name="image12.png"/>
                    <pic:cNvPicPr preferRelativeResize="0"/>
                  </pic:nvPicPr>
                  <pic:blipFill>
                    <a:blip r:embed="rId14"/>
                    <a:srcRect b="0" l="0" r="0" t="0"/>
                    <a:stretch>
                      <a:fillRect/>
                    </a:stretch>
                  </pic:blipFill>
                  <pic:spPr>
                    <a:xfrm>
                      <a:off x="0" y="0"/>
                      <a:ext cx="5731200" cy="2578100"/>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933700"/>
            <wp:effectExtent b="0" l="0" r="0" t="0"/>
            <wp:docPr id="8"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573120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971800"/>
            <wp:effectExtent b="0" l="0" r="0" t="0"/>
            <wp:docPr id="10" name="image15.png"/>
            <a:graphic>
              <a:graphicData uri="http://schemas.openxmlformats.org/drawingml/2006/picture">
                <pic:pic>
                  <pic:nvPicPr>
                    <pic:cNvPr id="0" name="image15.png"/>
                    <pic:cNvPicPr preferRelativeResize="0"/>
                  </pic:nvPicPr>
                  <pic:blipFill>
                    <a:blip r:embed="rId16"/>
                    <a:srcRect b="0" l="0" r="0" t="0"/>
                    <a:stretch>
                      <a:fillRect/>
                    </a:stretch>
                  </pic:blipFill>
                  <pic:spPr>
                    <a:xfrm>
                      <a:off x="0" y="0"/>
                      <a:ext cx="57312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3">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 relação à caracterização dos domicílios, não há alterações significativas, a maioria (mais do que 90%) são </w:t>
      </w:r>
      <w:r w:rsidDel="00000000" w:rsidR="00000000" w:rsidRPr="00000000">
        <w:rPr>
          <w:rFonts w:ascii="Times New Roman" w:cs="Times New Roman" w:eastAsia="Times New Roman" w:hAnsi="Times New Roman"/>
          <w:i w:val="1"/>
          <w:iCs w:val="1"/>
          <w:sz w:val="24"/>
          <w:szCs w:val="24"/>
          <w:rtl w:val="0"/>
        </w:rPr>
        <w:t xml:space="preserve">domicílios particulares permanentes</w:t>
      </w:r>
      <w:r w:rsidDel="00000000" w:rsidR="00000000" w:rsidRPr="00000000">
        <w:rPr>
          <w:rFonts w:ascii="Times New Roman" w:cs="Times New Roman" w:eastAsia="Times New Roman" w:hAnsi="Times New Roman"/>
          <w:sz w:val="24"/>
          <w:szCs w:val="24"/>
          <w:rtl w:val="0"/>
        </w:rPr>
        <w:t xml:space="preserve">, tipificados como </w:t>
      </w:r>
      <w:r w:rsidDel="00000000" w:rsidR="00000000" w:rsidRPr="00000000">
        <w:rPr>
          <w:rFonts w:ascii="Times New Roman" w:cs="Times New Roman" w:eastAsia="Times New Roman" w:hAnsi="Times New Roman"/>
          <w:i w:val="1"/>
          <w:iCs w:val="1"/>
          <w:sz w:val="24"/>
          <w:szCs w:val="24"/>
          <w:rtl w:val="0"/>
        </w:rPr>
        <w:t xml:space="preserve">casa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com banheiro</w:t>
      </w:r>
      <w:r w:rsidDel="00000000" w:rsidR="00000000" w:rsidRPr="00000000">
        <w:rPr>
          <w:rFonts w:ascii="Times New Roman" w:cs="Times New Roman" w:eastAsia="Times New Roman" w:hAnsi="Times New Roman"/>
          <w:sz w:val="24"/>
          <w:szCs w:val="24"/>
          <w:rtl w:val="0"/>
        </w:rPr>
        <w:t xml:space="preserve"> e </w:t>
      </w:r>
      <w:r w:rsidDel="00000000" w:rsidR="00000000" w:rsidRPr="00000000">
        <w:rPr>
          <w:rFonts w:ascii="Times New Roman" w:cs="Times New Roman" w:eastAsia="Times New Roman" w:hAnsi="Times New Roman"/>
          <w:i w:val="1"/>
          <w:iCs w:val="1"/>
          <w:sz w:val="24"/>
          <w:szCs w:val="24"/>
          <w:rtl w:val="0"/>
        </w:rPr>
        <w:t xml:space="preserve">ligação na rede geral </w:t>
      </w:r>
      <w:r w:rsidDel="00000000" w:rsidR="00000000" w:rsidRPr="00000000">
        <w:rPr>
          <w:rFonts w:ascii="Times New Roman" w:cs="Times New Roman" w:eastAsia="Times New Roman" w:hAnsi="Times New Roman"/>
          <w:sz w:val="24"/>
          <w:szCs w:val="24"/>
          <w:rtl w:val="0"/>
        </w:rPr>
        <w:t xml:space="preserve">de esgoto ou pluvial e de abastecimento de água. Observa-se, entretanto, um pequeno aumento percentual de abastecimento de água por</w:t>
      </w:r>
      <w:r w:rsidDel="00000000" w:rsidR="00000000" w:rsidRPr="00000000">
        <w:rPr>
          <w:rFonts w:ascii="Times New Roman" w:cs="Times New Roman" w:eastAsia="Times New Roman" w:hAnsi="Times New Roman"/>
          <w:i w:val="1"/>
          <w:iCs w:val="1"/>
          <w:sz w:val="24"/>
          <w:szCs w:val="24"/>
          <w:rtl w:val="0"/>
        </w:rPr>
        <w:t xml:space="preserve"> outras formas</w:t>
      </w:r>
      <w:r w:rsidDel="00000000" w:rsidR="00000000" w:rsidRPr="00000000">
        <w:rPr>
          <w:rFonts w:ascii="Times New Roman" w:cs="Times New Roman" w:eastAsia="Times New Roman" w:hAnsi="Times New Roman"/>
          <w:sz w:val="24"/>
          <w:szCs w:val="24"/>
          <w:rtl w:val="0"/>
        </w:rPr>
        <w:t xml:space="preserve"> e </w:t>
      </w:r>
      <w:r w:rsidDel="00000000" w:rsidR="00000000" w:rsidRPr="00000000">
        <w:rPr>
          <w:rFonts w:ascii="Times New Roman" w:cs="Times New Roman" w:eastAsia="Times New Roman" w:hAnsi="Times New Roman"/>
          <w:i w:val="1"/>
          <w:iCs w:val="1"/>
          <w:sz w:val="24"/>
          <w:szCs w:val="24"/>
          <w:rtl w:val="0"/>
        </w:rPr>
        <w:t xml:space="preserve">sem água canalizada</w:t>
      </w:r>
      <w:r w:rsidDel="00000000" w:rsidR="00000000" w:rsidRPr="00000000">
        <w:rPr>
          <w:rFonts w:ascii="Times New Roman" w:cs="Times New Roman" w:eastAsia="Times New Roman" w:hAnsi="Times New Roman"/>
          <w:sz w:val="24"/>
          <w:szCs w:val="24"/>
          <w:rtl w:val="0"/>
        </w:rPr>
        <w:t xml:space="preserve"> o que possivelmente indica um aumento de novas construções que podem encontrar dificuldades para fazer a ligação na rede geral.</w:t>
      </w:r>
    </w:p>
    <w:p w:rsidR="00000000" w:rsidDel="00000000" w:rsidP="00000000" w:rsidRDefault="00000000" w:rsidRPr="00000000" w14:paraId="00000054">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753058" cy="2638425"/>
            <wp:effectExtent b="0" l="0" r="0" t="0"/>
            <wp:docPr id="15" name="image11.png"/>
            <a:graphic>
              <a:graphicData uri="http://schemas.openxmlformats.org/drawingml/2006/picture">
                <pic:pic>
                  <pic:nvPicPr>
                    <pic:cNvPr id="0" name="image11.png"/>
                    <pic:cNvPicPr preferRelativeResize="0"/>
                  </pic:nvPicPr>
                  <pic:blipFill>
                    <a:blip r:embed="rId17"/>
                    <a:srcRect b="0" l="51987" r="0" t="0"/>
                    <a:stretch>
                      <a:fillRect/>
                    </a:stretch>
                  </pic:blipFill>
                  <pic:spPr>
                    <a:xfrm>
                      <a:off x="0" y="0"/>
                      <a:ext cx="2753058" cy="263842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2869475" cy="2667000"/>
            <wp:effectExtent b="0" l="0" r="0" t="0"/>
            <wp:docPr id="18" name="image14.png"/>
            <a:graphic>
              <a:graphicData uri="http://schemas.openxmlformats.org/drawingml/2006/picture">
                <pic:pic>
                  <pic:nvPicPr>
                    <pic:cNvPr id="0" name="image14.png"/>
                    <pic:cNvPicPr preferRelativeResize="0"/>
                  </pic:nvPicPr>
                  <pic:blipFill>
                    <a:blip r:embed="rId18"/>
                    <a:srcRect b="0" l="49957" r="0" t="0"/>
                    <a:stretch>
                      <a:fillRect/>
                    </a:stretch>
                  </pic:blipFill>
                  <pic:spPr>
                    <a:xfrm>
                      <a:off x="0" y="0"/>
                      <a:ext cx="2869475"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7">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578100"/>
            <wp:effectExtent b="0" l="0" r="0" t="0"/>
            <wp:docPr id="5"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5731200" cy="2578100"/>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679700"/>
            <wp:effectExtent b="0" l="0" r="0" t="0"/>
            <wp:docPr id="9" name="image16.png"/>
            <a:graphic>
              <a:graphicData uri="http://schemas.openxmlformats.org/drawingml/2006/picture">
                <pic:pic>
                  <pic:nvPicPr>
                    <pic:cNvPr id="0" name="image16.png"/>
                    <pic:cNvPicPr preferRelativeResize="0"/>
                  </pic:nvPicPr>
                  <pic:blipFill>
                    <a:blip r:embed="rId20"/>
                    <a:srcRect b="0" l="0" r="0" t="0"/>
                    <a:stretch>
                      <a:fillRect/>
                    </a:stretch>
                  </pic:blipFill>
                  <pic:spPr>
                    <a:xfrm>
                      <a:off x="0" y="0"/>
                      <a:ext cx="5731200" cy="26797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spacing w:line="36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sz w:val="24"/>
          <w:szCs w:val="24"/>
          <w:rtl w:val="0"/>
        </w:rPr>
        <w:tab/>
        <w:t xml:space="preserve">Coadunando com a hipótese levantada sobre o aumento de construções, ainda que a tabela agregada </w:t>
      </w:r>
      <w:r w:rsidDel="00000000" w:rsidR="00000000" w:rsidRPr="00000000">
        <w:rPr>
          <w:rFonts w:ascii="Times New Roman" w:cs="Times New Roman" w:eastAsia="Times New Roman" w:hAnsi="Times New Roman"/>
          <w:i w:val="1"/>
          <w:iCs w:val="1"/>
          <w:sz w:val="24"/>
          <w:szCs w:val="24"/>
          <w:rtl w:val="0"/>
        </w:rPr>
        <w:t xml:space="preserve">Estabelecimentos por espécie e edificações em construção ou reforma </w:t>
      </w:r>
      <w:r w:rsidDel="00000000" w:rsidR="00000000" w:rsidRPr="00000000">
        <w:rPr>
          <w:rFonts w:ascii="Times New Roman" w:cs="Times New Roman" w:eastAsia="Times New Roman" w:hAnsi="Times New Roman"/>
          <w:sz w:val="24"/>
          <w:szCs w:val="24"/>
          <w:rtl w:val="0"/>
        </w:rPr>
        <w:t xml:space="preserve">possa ser encontrada apenas para o Censo de 2022, ele também nos mostra uma proporção consideravelmente alta de </w:t>
      </w:r>
      <w:r w:rsidDel="00000000" w:rsidR="00000000" w:rsidRPr="00000000">
        <w:rPr>
          <w:rFonts w:ascii="Times New Roman" w:cs="Times New Roman" w:eastAsia="Times New Roman" w:hAnsi="Times New Roman"/>
          <w:i w:val="1"/>
          <w:iCs w:val="1"/>
          <w:sz w:val="24"/>
          <w:szCs w:val="24"/>
          <w:rtl w:val="0"/>
        </w:rPr>
        <w:t xml:space="preserve">edificações em construção ou reforma.</w:t>
      </w:r>
    </w:p>
    <w:p w:rsidR="00000000" w:rsidDel="00000000" w:rsidP="00000000" w:rsidRDefault="00000000" w:rsidRPr="00000000" w14:paraId="0000005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781300"/>
            <wp:effectExtent b="0" l="0" r="0" t="0"/>
            <wp:docPr id="4" name="image5.png"/>
            <a:graphic>
              <a:graphicData uri="http://schemas.openxmlformats.org/drawingml/2006/picture">
                <pic:pic>
                  <pic:nvPicPr>
                    <pic:cNvPr id="0" name="image5.png"/>
                    <pic:cNvPicPr preferRelativeResize="0"/>
                  </pic:nvPicPr>
                  <pic:blipFill>
                    <a:blip r:embed="rId21"/>
                    <a:srcRect b="0" l="0" r="0" t="0"/>
                    <a:stretch>
                      <a:fillRect/>
                    </a:stretch>
                  </pic:blipFill>
                  <pic:spPr>
                    <a:xfrm>
                      <a:off x="0" y="0"/>
                      <a:ext cx="57312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E">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que concerne à coleta de lixo, o aumento considerável da categoria </w:t>
      </w:r>
      <w:r w:rsidDel="00000000" w:rsidR="00000000" w:rsidRPr="00000000">
        <w:rPr>
          <w:rFonts w:ascii="Times New Roman" w:cs="Times New Roman" w:eastAsia="Times New Roman" w:hAnsi="Times New Roman"/>
          <w:i w:val="1"/>
          <w:iCs w:val="1"/>
          <w:sz w:val="24"/>
          <w:szCs w:val="24"/>
          <w:rtl w:val="0"/>
        </w:rPr>
        <w:t xml:space="preserve">outro destino </w:t>
      </w:r>
      <w:r w:rsidDel="00000000" w:rsidR="00000000" w:rsidRPr="00000000">
        <w:rPr>
          <w:rFonts w:ascii="Times New Roman" w:cs="Times New Roman" w:eastAsia="Times New Roman" w:hAnsi="Times New Roman"/>
          <w:sz w:val="24"/>
          <w:szCs w:val="24"/>
          <w:rtl w:val="0"/>
        </w:rPr>
        <w:t xml:space="preserve">em consonância com o que foi observado no capítulo 1.3 deste relatório sobre as pessoas em situação de rua, o trabalho na catação e o ponto de venda e revenda dos recicláveis na entrada da comunidade, é plausível supor que existem outras organizações para descarte do lixo que não necessariamente envolvem os moradores da comunidade da Gamboa de Baixo.</w:t>
      </w:r>
    </w:p>
    <w:p w:rsidR="00000000" w:rsidDel="00000000" w:rsidP="00000000" w:rsidRDefault="00000000" w:rsidRPr="00000000" w14:paraId="0000005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842350" cy="2628900"/>
            <wp:effectExtent b="0" l="0" r="0" t="0"/>
            <wp:docPr id="16" name="image2.png"/>
            <a:graphic>
              <a:graphicData uri="http://schemas.openxmlformats.org/drawingml/2006/picture">
                <pic:pic>
                  <pic:nvPicPr>
                    <pic:cNvPr id="0" name="image2.png"/>
                    <pic:cNvPicPr preferRelativeResize="0"/>
                  </pic:nvPicPr>
                  <pic:blipFill>
                    <a:blip r:embed="rId22"/>
                    <a:srcRect b="0" l="0" r="50430" t="0"/>
                    <a:stretch>
                      <a:fillRect/>
                    </a:stretch>
                  </pic:blipFill>
                  <pic:spPr>
                    <a:xfrm>
                      <a:off x="0" y="0"/>
                      <a:ext cx="2842350" cy="26289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3051900" cy="2581275"/>
            <wp:effectExtent b="0" l="0" r="0" t="0"/>
            <wp:docPr id="14" name="image4.png"/>
            <a:graphic>
              <a:graphicData uri="http://schemas.openxmlformats.org/drawingml/2006/picture">
                <pic:pic>
                  <pic:nvPicPr>
                    <pic:cNvPr id="0" name="image4.png"/>
                    <pic:cNvPicPr preferRelativeResize="0"/>
                  </pic:nvPicPr>
                  <pic:blipFill>
                    <a:blip r:embed="rId23"/>
                    <a:srcRect b="0" l="0" r="46775" t="0"/>
                    <a:stretch>
                      <a:fillRect/>
                    </a:stretch>
                  </pic:blipFill>
                  <pic:spPr>
                    <a:xfrm>
                      <a:off x="0" y="0"/>
                      <a:ext cx="3051900" cy="2581275"/>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19053</wp:posOffset>
            </wp:positionH>
            <wp:positionV relativeFrom="paragraph">
              <wp:posOffset>281918</wp:posOffset>
            </wp:positionV>
            <wp:extent cx="3033908" cy="2476500"/>
            <wp:effectExtent b="0" l="0" r="0" t="0"/>
            <wp:wrapSquare wrapText="bothSides" distB="114300" distT="114300" distL="114300" distR="114300"/>
            <wp:docPr id="6" name="image7.png"/>
            <a:graphic>
              <a:graphicData uri="http://schemas.openxmlformats.org/drawingml/2006/picture">
                <pic:pic>
                  <pic:nvPicPr>
                    <pic:cNvPr id="0" name="image7.png"/>
                    <pic:cNvPicPr preferRelativeResize="0"/>
                  </pic:nvPicPr>
                  <pic:blipFill>
                    <a:blip r:embed="rId24"/>
                    <a:srcRect b="0" l="0" r="47089" t="0"/>
                    <a:stretch>
                      <a:fillRect/>
                    </a:stretch>
                  </pic:blipFill>
                  <pic:spPr>
                    <a:xfrm>
                      <a:off x="0" y="0"/>
                      <a:ext cx="3033908" cy="2476500"/>
                    </a:xfrm>
                    <a:prstGeom prst="rect"/>
                    <a:ln/>
                  </pic:spPr>
                </pic:pic>
              </a:graphicData>
            </a:graphic>
          </wp:anchor>
        </w:drawing>
      </w:r>
    </w:p>
    <w:p w:rsidR="00000000" w:rsidDel="00000000" w:rsidP="00000000" w:rsidRDefault="00000000" w:rsidRPr="00000000" w14:paraId="0000006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Sobre o rendimento nominal mensal, não é possível fazer uma comparação direta entre os censos, pois em 2022 o valor agregado disponibilizado até o momento diz respeito ao rendimento nominal médio mensal dos responsáveis pelo domicílio, que corresponde a R$ 950 e R$1219 para cada um dos setores que abrangem a área de estudo, valores estes menores que um salário mínimo.</w:t>
      </w:r>
    </w:p>
    <w:p w:rsidR="00000000" w:rsidDel="00000000" w:rsidP="00000000" w:rsidRDefault="00000000" w:rsidRPr="00000000" w14:paraId="0000006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sectPr>
      <w:type w:val="nextPage"/>
      <w:pgSz w:h="16834" w:w="11909" w:orient="portrait"/>
      <w:pgMar w:bottom="1133" w:top="1133" w:left="1133" w:right="1133"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069">
      <w:pPr>
        <w:spacing w:line="240" w:lineRule="auto"/>
        <w:jc w:val="both"/>
        <w:rPr>
          <w:rFonts w:ascii="Times New Roman" w:cs="Times New Roman" w:eastAsia="Times New Roman" w:hAnsi="Times New Roman"/>
          <w:sz w:val="20"/>
          <w:szCs w:val="20"/>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b w:val="1"/>
          <w:bCs w:val="1"/>
          <w:sz w:val="20"/>
          <w:szCs w:val="20"/>
          <w:rtl w:val="0"/>
        </w:rPr>
        <w:t xml:space="preserve">BRASIL.</w:t>
      </w:r>
      <w:r w:rsidDel="00000000" w:rsidR="00000000" w:rsidRPr="00000000">
        <w:rPr>
          <w:rFonts w:ascii="Times New Roman" w:cs="Times New Roman" w:eastAsia="Times New Roman" w:hAnsi="Times New Roman"/>
          <w:sz w:val="20"/>
          <w:szCs w:val="20"/>
          <w:rtl w:val="0"/>
        </w:rPr>
        <w:t xml:space="preserve"> Lei nº 12.288, de 20 de julho de 2010. Institui o Estatuto da Igualdade Racial; altera as Leis nº 7.716, de 5 de janeiro de 1989, 9.029, de 13 de abril de 1995, 7.347, de 24 de julho de 1985, e 10.778, de 24 de novembro de 2003. </w:t>
      </w:r>
      <w:r w:rsidDel="00000000" w:rsidR="00000000" w:rsidRPr="00000000">
        <w:rPr>
          <w:rFonts w:ascii="Times New Roman" w:cs="Times New Roman" w:eastAsia="Times New Roman" w:hAnsi="Times New Roman"/>
          <w:b w:val="1"/>
          <w:bCs w:val="1"/>
          <w:sz w:val="20"/>
          <w:szCs w:val="20"/>
          <w:rtl w:val="0"/>
        </w:rPr>
        <w:t xml:space="preserve">Diário Oficial da União</w:t>
      </w:r>
      <w:r w:rsidDel="00000000" w:rsidR="00000000" w:rsidRPr="00000000">
        <w:rPr>
          <w:rFonts w:ascii="Times New Roman" w:cs="Times New Roman" w:eastAsia="Times New Roman" w:hAnsi="Times New Roman"/>
          <w:sz w:val="20"/>
          <w:szCs w:val="20"/>
          <w:rtl w:val="0"/>
        </w:rPr>
        <w:t xml:space="preserve">: seção 1, Brasília, DF, ano 147, n. 138, p. 1-4, 21 jul. 2010. Disponível em:</w:t>
      </w:r>
      <w:hyperlink r:id="rId1">
        <w:r w:rsidDel="00000000" w:rsidR="00000000" w:rsidRPr="00000000">
          <w:rPr>
            <w:rFonts w:ascii="Times New Roman" w:cs="Times New Roman" w:eastAsia="Times New Roman" w:hAnsi="Times New Roman"/>
            <w:sz w:val="20"/>
            <w:szCs w:val="20"/>
            <w:rtl w:val="0"/>
          </w:rPr>
          <w:t xml:space="preserve"> </w:t>
        </w:r>
      </w:hyperlink>
      <w:hyperlink r:id="rId2">
        <w:r w:rsidDel="00000000" w:rsidR="00000000" w:rsidRPr="00000000">
          <w:rPr>
            <w:rFonts w:ascii="Times New Roman" w:cs="Times New Roman" w:eastAsia="Times New Roman" w:hAnsi="Times New Roman"/>
            <w:color w:val="1155cc"/>
            <w:sz w:val="20"/>
            <w:szCs w:val="20"/>
            <w:u w:val="single"/>
            <w:rtl w:val="0"/>
          </w:rPr>
          <w:t xml:space="preserve">http://www.planalto.gov.br/ccivil_03/_ato2007-2010/2010/lei/l12288.htm</w:t>
        </w:r>
      </w:hyperlink>
      <w:r w:rsidDel="00000000" w:rsidR="00000000" w:rsidRPr="00000000">
        <w:rPr>
          <w:rFonts w:ascii="Times New Roman" w:cs="Times New Roman" w:eastAsia="Times New Roman" w:hAnsi="Times New Roman"/>
          <w:sz w:val="20"/>
          <w:szCs w:val="20"/>
          <w:rtl w:val="0"/>
        </w:rPr>
        <w:t xml:space="preserve">. Acesso em: 29 jul. 2025.</w:t>
      </w:r>
    </w:p>
  </w:footnote>
  <w:footnote w:id="1">
    <w:p w:rsidR="00000000" w:rsidDel="00000000" w:rsidP="00000000" w:rsidRDefault="00000000" w:rsidRPr="00000000" w14:paraId="0000006A">
      <w:pPr>
        <w:spacing w:line="276" w:lineRule="auto"/>
        <w:jc w:val="both"/>
        <w:rPr>
          <w:rFonts w:ascii="Times New Roman" w:cs="Times New Roman" w:eastAsia="Times New Roman" w:hAnsi="Times New Roman"/>
          <w:sz w:val="20"/>
          <w:szCs w:val="20"/>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sz w:val="20"/>
          <w:szCs w:val="20"/>
          <w:rtl w:val="0"/>
        </w:rPr>
        <w:t xml:space="preserve"> Número de unidades habitacionais (casas ou apartamentos) por hectare.</w:t>
      </w:r>
    </w:p>
  </w:footnote>
</w:footnote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pt_BR"/>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6.png"/><Relationship Id="rId11" Type="http://schemas.openxmlformats.org/officeDocument/2006/relationships/image" Target="media/image9.png"/><Relationship Id="rId22" Type="http://schemas.openxmlformats.org/officeDocument/2006/relationships/image" Target="media/image2.png"/><Relationship Id="rId10" Type="http://schemas.openxmlformats.org/officeDocument/2006/relationships/image" Target="media/image3.png"/><Relationship Id="rId21" Type="http://schemas.openxmlformats.org/officeDocument/2006/relationships/image" Target="media/image5.png"/><Relationship Id="rId13" Type="http://schemas.openxmlformats.org/officeDocument/2006/relationships/image" Target="media/image6.png"/><Relationship Id="rId24" Type="http://schemas.openxmlformats.org/officeDocument/2006/relationships/image" Target="media/image7.png"/><Relationship Id="rId12" Type="http://schemas.openxmlformats.org/officeDocument/2006/relationships/image" Target="media/image8.png"/><Relationship Id="rId23"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13.png"/><Relationship Id="rId15" Type="http://schemas.openxmlformats.org/officeDocument/2006/relationships/image" Target="media/image1.png"/><Relationship Id="rId14"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5.png"/><Relationship Id="rId5" Type="http://schemas.openxmlformats.org/officeDocument/2006/relationships/numbering" Target="numbering.xml"/><Relationship Id="rId19" Type="http://schemas.openxmlformats.org/officeDocument/2006/relationships/image" Target="media/image10.png"/><Relationship Id="rId6" Type="http://schemas.openxmlformats.org/officeDocument/2006/relationships/styles" Target="styles.xml"/><Relationship Id="rId18" Type="http://schemas.openxmlformats.org/officeDocument/2006/relationships/image" Target="media/image14.png"/><Relationship Id="rId7" Type="http://schemas.openxmlformats.org/officeDocument/2006/relationships/image" Target="media/image17.png"/><Relationship Id="rId8" Type="http://schemas.openxmlformats.org/officeDocument/2006/relationships/image" Target="media/image18.png"/></Relationships>
</file>

<file path=word/_rels/footnotes.xml.rels><?xml version="1.0" encoding="UTF-8" standalone="yes"?><Relationships xmlns="http://schemas.openxmlformats.org/package/2006/relationships"><Relationship Id="rId1" Type="http://schemas.openxmlformats.org/officeDocument/2006/relationships/hyperlink" Target="http://www.planalto.gov.br/ccivil_03/_ato2007-2010/2010/lei/l12288.htm" TargetMode="External"/><Relationship Id="rId2" Type="http://schemas.openxmlformats.org/officeDocument/2006/relationships/hyperlink" Target="http://www.planalto.gov.br/ccivil_03/_ato2007-2010/2010/lei/l12288.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